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kochii</w:t>
      </w:r>
      <w:r>
        <w:t xml:space="preserve"> W.Fitzg.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50:20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555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kochii</w:t>
      </w:r>
      <w:proofErr w:type="spellEnd"/>
      <w:r>
        <w:t xml:space="preserve"> W.Fitzg. ex Ewart &amp; Jean White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1994b: 395): Watheroo Rabbit Fence, W.A., Aug. 1905, M. Koch 1616 (BM, left hand specimen on sheet). Remaining syntypes: (1) BM (dated Aug. 1905); (2) MEL n.v. (dated Sept. 1905); (3) NSW (two sheets, one dated Sept. 1905, one dated Aug.--Sept. 1904); (4) PERTH (dated Sept. 1905)</w:t>
      </w:r>
      <w:proofErr w:type="spellEnd"/>
      <w:r w:rsidRPr="009A6983">
        <w:rPr>
          <w:b/>
        </w:rPr>
        <w:t xml:space="preserve"> Source:</w:t>
      </w:r>
      <w:r>
        <w:t xml:space="preserve"> Fl. Australia 11A: 555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W.Fitzg. ex Ewart &amp; Jean White (1911).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