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decipiens</w:t>
      </w:r>
      <w:r>
        <w:t xml:space="preserve"> sens.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2:351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500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incrassata</w:t>
      </w:r>
      <w:proofErr w:type="spellEnd"/>
      <w:r>
        <w:t xml:space="preserve"> Hook.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misapplication was based on: J. Drummond 296 (BM, G, K, MEL, OXF, P, W) and L. Preiss 955 (C, FI, G, GOET, HBG, K, LUND, M, MEL, MO, MPU, NY, P, STR, W).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