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pervillei</w:t>
      </w:r>
      <w:proofErr w:type="spellEnd"/>
      <w:r>
        <w:t xml:space="preserve"> (Benth.)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Senegalia pervillei var. pubescens (Villiers &amp; Du Puy) Boatwr.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pervillei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pervillei</w:t>
      </w:r>
      <w:r w:rsidR="00041308">
        <w:t xml:space="preserve"> var.</w:t>
      </w:r>
      <w:r w:rsidR="00041308" w:rsidRPr="00815E7D">
        <w:rPr>
          <w:i/>
        </w:rPr>
        <w:t xml:space="preserve"> pervillei</w:t>
      </w:r>
      <w:r>
        <w:t xml:space="preserve"> Benth.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pervillei</w:t>
      </w:r>
      <w:proofErr w:type="spellEnd"/>
      <w:r>
        <w:t xml:space="preserve">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pervillei</w:t>
      </w:r>
      <w:proofErr w:type="spellEnd"/>
      <w:r>
        <w:t xml:space="preserve"> (Benth.)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pervillei var. pubescens Villiers &amp; Du Puy (2002: 237).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