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leucophloea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leucophloea</w:t>
      </w:r>
      <w:proofErr w:type="spellEnd"/>
      <w:r>
        <w:t xml:space="preserve"> (Roxb.) Willd.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leucophloea var. melanochaetes (Zoll. &amp; Moritzi) Miq. 1855.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