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saltilloensis</w:t>
      </w:r>
      <w:r>
        <w:t xml:space="preserve"> (Britton &amp; Rose) L.Rico</w:t>
      </w:r>
      <w:r w:rsidR="00780DEE" w:rsidRPr="00780DEE">
        <w:rPr>
          <w:i/>
        </w:rPr>
        <w:t xml:space="preserve"> Checklist and Synopsis of American Species of Acacia (Leguminosae: Mimosoideae)</w:t>
      </w:r>
      <w:proofErr w:type="spellStart"/>
      <w:r w:rsidR="00780DEE">
        <w:t xml:space="preserve"> :166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166).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Senegalia saltilloensis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