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plumosa</w:t>
      </w:r>
      <w:r>
        <w:t xml:space="preserve"> Lowe</w:t>
      </w:r>
      <w:r w:rsidR="00780DEE" w:rsidRPr="00780DEE">
        <w:rPr>
          <w:i/>
        </w:rPr>
        <w:t xml:space="preserve"> Bot. Mag.</w:t>
      </w:r>
      <w:proofErr w:type="spellStart"/>
      <w:r w:rsidR="00780DEE">
        <w:t xml:space="preserve"> :</w:t>
      </w:r>
      <w:proofErr w:type="spellEnd"/>
      <w:r w:rsidR="00780DEE">
        <w:t xml:space="preserve"> (Nov. 1834)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Rico Arce (2007: 114)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lowei</w:t>
      </w:r>
      <w:proofErr w:type="spellEnd"/>
      <w:r>
        <w:t xml:space="preserve"> (L.Rico)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Rico-Arce 2007):  original drawing for plate 3366, M. Young (K-library). Probably from Brazil, but based on a specimen cultivated in Madeira</w:t>
      </w:r>
      <w:proofErr w:type="spellEnd"/>
      <w:r w:rsidRPr="009A6983">
        <w:rPr>
          <w:b/>
        </w:rPr>
        <w:t xml:space="preserve"> Source:</w:t>
      </w:r>
      <w:r>
        <w:t xml:space="preserve"> Rico-Arce (2007: 114); Seigler &amp; Ebinger (2009: 28)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Mart. ex Colla (July 1834).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