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nigricans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11B:405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leioderma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R.Brown in W.T.Aiton, Hortus Kew. 2nd edn, 5: 465 (J. Sims, Bot. Mag. t. 2188 (1820); C.F. Meissner in J.G.C. Lehmann, Pl. Preiss. 1: 20 (1844), pro parte, as to L. Preiss 887; K.Koch, Allg. Gartenzeitung 26: 195 (1858); G. Bentham, Fl. Austral. 2: 418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