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bolei</w:t>
      </w:r>
      <w:r>
        <w:t xml:space="preserve"> R.P.Subhedar</w:t>
      </w:r>
      <w:r w:rsidR="00780DEE" w:rsidRPr="00780DEE">
        <w:rPr>
          <w:i/>
        </w:rPr>
        <w:t xml:space="preserve"> J. Bombay Nat. Hist. Soc.</w:t>
      </w:r>
      <w:proofErr w:type="spellStart"/>
      <w:r w:rsidR="00780DEE">
        <w:t xml:space="preserve"> 82:440</w:t>
      </w:r>
      <w:proofErr w:type="spellEnd"/>
      <w:r w:rsidR="00780DEE">
        <w:t xml:space="preserve"> (1985)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Maslin (2014e: 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bolei</w:t>
      </w:r>
      <w:proofErr w:type="spellEnd"/>
      <w:r>
        <w:t xml:space="preserve"> (R.P.Subhedar) Ragup., Seigler, Ebinger &amp;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Replacement name for Acacia wightii Baker ex Benth. (1875), nom. illeg., non Graham ex Wight &amp; Arn. (1834).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wightii</w:t>
      </w:r>
      <w:r>
        <w:t xml:space="preserve"> Baker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