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Pithecellobium tenue</w:t>
      </w:r>
      <w:r>
        <w:t xml:space="preserve"> Craib</w:t>
      </w:r>
      <w:r w:rsidR="00780DEE" w:rsidRPr="00780DEE">
        <w:rPr>
          <w:i/>
        </w:rPr>
        <w:t xml:space="preserve"> Bull. Misc. Inform. Kew</w:t>
      </w:r>
      <w:proofErr w:type="spellStart"/>
      <w:r w:rsidR="00780DEE">
        <w:t xml:space="preserve"> 1927:394</w:t>
      </w:r>
      <w:proofErr w:type="spellEnd"/>
      <w:r w:rsidR="00780DEE">
        <w:t xml:space="preserve"> (1927)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Lewis &amp;amp; Schrire (2003: 493)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Thailentadopsis tenuis</w:t>
      </w:r>
      <w:proofErr w:type="spellEnd"/>
      <w:r>
        <w:t xml:space="preserve"> (Craib) Kosterm.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