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tortilis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campoptila</w:t>
      </w:r>
      <w:proofErr w:type="spellEnd"/>
      <w:r>
        <w:t xml:space="preserve"> (Schweinf.) Boulos</w:t>
      </w:r>
      <w:r w:rsidR="00780DEE" w:rsidRPr="00780DEE">
        <w:rPr>
          <w:i/>
        </w:rPr>
        <w:t xml:space="preserve"> Kew Bull.</w:t>
      </w:r>
      <w:proofErr w:type="spellStart"/>
      <w:r w:rsidR="00780DEE">
        <w:t xml:space="preserve"> 50:336</w:t>
      </w:r>
      <w:proofErr w:type="spellEnd"/>
      <w:r w:rsidR="00780DEE">
        <w:t xml:space="preserve"> (1995)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Ragupathy et al. (2014: 177)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tortilis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campoptila</w:t>
      </w:r>
      <w:proofErr w:type="spellEnd"/>
      <w:r>
        <w:t xml:space="preserve"> (Schweinf.) Ragup., Seigler, Ebinger &amp;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campoptila</w:t>
      </w:r>
      <w:r>
        <w:t xml:space="preserve"> Schweinf.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