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spinosa</w:t>
      </w:r>
      <w:r>
        <w:t xml:space="preserve"> E.Mey.</w:t>
      </w:r>
      <w:r w:rsidR="00780DEE" w:rsidRPr="00780DEE">
        <w:rPr>
          <w:i/>
        </w:rPr>
        <w:t xml:space="preserve"> Comm. Pl. Afr. Austr.</w:t>
      </w:r>
      <w:proofErr w:type="spellStart"/>
      <w:r w:rsidR="00780DEE">
        <w:t xml:space="preserve"> 1:170</w:t>
      </w:r>
      <w:proofErr w:type="spellEnd"/>
      <w:r w:rsidR="00780DEE">
        <w:t xml:space="preserve"> (1836)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147)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Dichrostachys cinerea</w:t>
      </w:r>
      <w:proofErr w:type="spellEnd"/>
      <w:r>
        <w:t xml:space="preserve"> 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Isotype: S. Africa, Natal, Durban, Drege (P)</w:t>
      </w:r>
      <w:proofErr w:type="spellEnd"/>
      <w:r w:rsidRPr="009A6983">
        <w:rPr>
          <w:b/>
        </w:rPr>
        <w:t xml:space="preserve"> Source:</w:t>
      </w:r>
      <w:r>
        <w:t xml:space="preserve"> Ross (1979: 147)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