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erioloba</w:t>
      </w:r>
      <w:r>
        <w:t xml:space="preserve"> Edgew.</w:t>
      </w:r>
      <w:r w:rsidR="00780DEE" w:rsidRPr="00780DEE">
        <w:rPr>
          <w:i/>
        </w:rPr>
        <w:t xml:space="preserve"> J. Asiat. Soc Bengal, Pt. 2, Nat. Hist.</w:t>
      </w:r>
      <w:proofErr w:type="spellStart"/>
      <w:r w:rsidR="00780DEE">
        <w:t xml:space="preserve"> 16:1215</w:t>
      </w:r>
      <w:proofErr w:type="spellEnd"/>
      <w:r w:rsidR="00780DEE">
        <w:t xml:space="preserve"> (1847)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Ross (1979: 140)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edgeworthii</w:t>
      </w:r>
      <w:proofErr w:type="spellEnd"/>
      <w:r>
        <w:t xml:space="preserve"> (T.Anderson)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No type cited</w:t>
      </w:r>
      <w:proofErr w:type="spellEnd"/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E.Mey. (1836).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