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nubica</w:t>
      </w:r>
      <w:proofErr w:type="spellStart"/>
      <w:r w:rsidRPr="007C1DDC">
        <w:rPr>
          <w:b/>
        </w:rPr>
        <w:t xml:space="preserve"> var.</w:t>
      </w:r>
      <w:proofErr w:type="spellEnd"/>
      <w:proofErr w:type="spellStart"/>
      <w:r w:rsidRPr="007C1DDC">
        <w:rPr>
          <w:b/>
          <w:i/>
        </w:rPr>
        <w:t xml:space="preserve"> erythraea</w:t>
      </w:r>
      <w:proofErr w:type="spellEnd"/>
      <w:r>
        <w:t xml:space="preserve"> Schweinf.</w:t>
      </w:r>
      <w:r w:rsidR="00780DEE" w:rsidRPr="00780DEE">
        <w:rPr>
          <w:i/>
        </w:rPr>
        <w:t xml:space="preserve"> Linnaea</w:t>
      </w:r>
      <w:proofErr w:type="spellStart"/>
      <w:r w:rsidR="00780DEE">
        <w:t xml:space="preserve"> 35:338</w:t>
      </w:r>
      <w:proofErr w:type="spellEnd"/>
      <w:r w:rsidR="00780DEE">
        <w:t xml:space="preserve"> (1867-8)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Ross (1979: 137)</w:t>
      </w:r>
    </w:p>
    <w:p w:rsidR="00815E7D" w:rsidRPr="009A6983" w:rsidRDefault="00815E7D" w:rsidP="00151EE2">
      <w:r w:rsidRPr="00815E7D">
        <w:rPr>
          <w:b/>
        </w:rPr>
        <w:t>Accepted Name:</w:t>
      </w:r>
      <w:proofErr w:type="spellStart"/>
      <w:r w:rsidRPr="00815E7D">
        <w:rPr>
          <w:i/>
        </w:rPr>
        <w:t xml:space="preserve"> Vachellia oerfota</w:t>
      </w:r>
      <w:proofErr w:type="spellEnd"/>
      <w:proofErr w:type="spellStart"/>
      <w:r>
        <w:t xml:space="preserve"> </w:t>
      </w:r>
      <w:proofErr w:type="spellEnd"/>
      <w:proofErr w:type="spellStart"/>
      <w:r w:rsidRPr="00815E7D">
        <w:rPr>
          <w:i/>
        </w:rPr>
        <w:t xml:space="preserve"> </w:t>
      </w:r>
      <w:proofErr w:type="spellEnd"/>
      <w:r>
        <w:t xml:space="preserve"> (Forssk.) Kyal. &amp; Boatwr.</w:t>
      </w:r>
    </w:p>
    <w:p w:rsidR="003A515D" w:rsidRPr="009A6983" w:rsidRDefault="003A515D" w:rsidP="009A6983">
      <w:r w:rsidRPr="003A515D">
        <w:rPr>
          <w:b/>
        </w:rPr>
        <w:t>Notes:</w:t>
      </w:r>
      <w:r>
        <w:t xml:space="preserve"> According to Ross (1979: 137): Schweinfurth did not cite any specimens in the protologue of var. erythraea or of var. aethiopica, but the descriptions leave no doubt of what he intended by these two varieties. Consequently, Schimper 1036, the type of A. pterygocarpa is selected as the lectotype of var. erythraea, and Kotschy 407, the type of A. nubica, is selected as the lectotype of var. aethiopica.</w:t>
      </w:r>
    </w:p>
    <w:p w:rsidR="00F52DD3" w:rsidRDefault="00F52DD3">
      <w:r>
        <w:rPr>
          <w:b/>
        </w:rPr>
        <w:t>Based On:</w:t>
      </w:r>
      <w:r>
        <w:rPr>
          <w:i/>
        </w:rPr>
        <w:t xml:space="preserve"> Acacia pterygocarpa</w:t>
      </w:r>
      <w:r>
        <w:t xml:space="preserve"> Hochst. ex Benth.</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