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johnwoodii</w:t>
      </w:r>
      <w:r>
        <w:t xml:space="preserve"> Boulos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50(2):327-330</w:t>
      </w:r>
      <w:proofErr w:type="spellEnd"/>
      <w:r w:rsidR="00780DEE">
        <w:t xml:space="preserve"> (1995)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Ragupathy et al. (2014: 176)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johnwoodii</w:t>
      </w:r>
      <w:proofErr w:type="spellEnd"/>
      <w:r>
        <w:t xml:space="preserve"> (Boulos) Ragup., Seigler, Ebinger &amp; Maslin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Saudi Arabia. S. Collenette 2815 (K): isotype E</w:t>
      </w:r>
      <w:proofErr w:type="spellEnd"/>
      <w:r w:rsidRPr="009A6983">
        <w:rPr>
          <w:b/>
        </w:rPr>
        <w:t xml:space="preserve"> Source:</w:t>
      </w:r>
      <w:r>
        <w:t xml:space="preserve"> Boulos (1995: 329)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