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lathouwersii</w:t>
      </w:r>
      <w:r>
        <w:t xml:space="preserve"> Staner</w:t>
      </w:r>
      <w:r w:rsidR="00780DEE" w:rsidRPr="00780DEE">
        <w:rPr>
          <w:i/>
        </w:rPr>
        <w:t xml:space="preserve"> Ann. Soc. Sci. Bruxelles, Sér. B</w:t>
      </w:r>
      <w:proofErr w:type="spellStart"/>
      <w:r w:rsidR="00780DEE">
        <w:t xml:space="preserve"> 55, B:311</w:t>
      </w:r>
      <w:proofErr w:type="spellEnd"/>
      <w:r w:rsidR="00780DEE">
        <w:t xml:space="preserve"> (1935)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119)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drepanolobium</w:t>
      </w:r>
      <w:proofErr w:type="spellEnd"/>
      <w:r>
        <w:t xml:space="preserve"> (Harms ex Y.Sjöstedt) P.J.H.Hurter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Zaire, Ishwa-Lac Albert, Bredo 1395 (BR)</w:t>
      </w:r>
      <w:proofErr w:type="spellEnd"/>
      <w:r w:rsidRPr="009A6983">
        <w:rPr>
          <w:b/>
        </w:rPr>
        <w:t xml:space="preserve"> Source:</w:t>
      </w:r>
      <w:r>
        <w:t xml:space="preserve"> Ross (1979: 119)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