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goeringii</w:t>
      </w:r>
      <w:r>
        <w:t xml:space="preserve"> Schinz</w:t>
      </w:r>
      <w:r w:rsidR="00780DEE" w:rsidRPr="00780DEE">
        <w:rPr>
          <w:i/>
        </w:rPr>
        <w:t xml:space="preserve"> Verh. Bot. Vereins Prov. Brandenburg</w:t>
      </w:r>
      <w:proofErr w:type="spellStart"/>
      <w:r w:rsidR="00780DEE">
        <w:t xml:space="preserve"> 30:239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118)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r>
        <w:t xml:space="preserve"> (Engl.)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Botswana, Ghanzi, Schinz 251 (Z)</w:t>
      </w:r>
      <w:proofErr w:type="spellEnd"/>
      <w:r w:rsidRPr="009A6983">
        <w:rPr>
          <w:b/>
        </w:rPr>
        <w:t xml:space="preserve"> Source:</w:t>
      </w:r>
      <w:r>
        <w:t xml:space="preserve"> Ross (1979: 118)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