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etbaica</w:t>
      </w:r>
      <w:r>
        <w:t xml:space="preserve"> Schweinf.</w:t>
      </w:r>
      <w:r w:rsidR="00780DEE" w:rsidRPr="00780DEE">
        <w:rPr>
          <w:i/>
        </w:rPr>
        <w:t xml:space="preserve"> Linnaea</w:t>
      </w:r>
      <w:proofErr w:type="spellStart"/>
      <w:r w:rsidR="00780DEE">
        <w:t xml:space="preserve"> 35:330</w:t>
      </w:r>
      <w:proofErr w:type="spellEnd"/>
      <w:r w:rsidR="00780DEE">
        <w:t xml:space="preserve"> (1867-8)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pro parte   Source. Ross (1979: 115)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etbaica</w:t>
      </w:r>
      <w:proofErr w:type="spellEnd"/>
      <w:r>
        <w:t xml:space="preserve"> (Brenan)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Pro parte, quoad specim. abyssin.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