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raddiana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(A.Chev.) A.F.Hill</w:t>
      </w:r>
      <w:r w:rsidR="00780DEE" w:rsidRPr="00780DEE">
        <w:rPr>
          <w:i/>
        </w:rPr>
        <w:t xml:space="preserve"> Bot. Mus. Leafl.</w:t>
      </w:r>
      <w:proofErr w:type="spellStart"/>
      <w:r w:rsidR="00780DEE">
        <w:t xml:space="preserve"> 8:103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pubescens</w:t>
      </w:r>
      <w:proofErr w:type="spellEnd"/>
      <w:r>
        <w:t xml:space="preserve"> (A.Chev.)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tortilis</w:t>
      </w:r>
      <w:r>
        <w:t xml:space="preserve"> var.</w:t>
      </w:r>
      <w:r w:rsidRPr="00815E7D">
        <w:rPr>
          <w:i/>
        </w:rPr>
        <w:t xml:space="preserve"> pubescens</w:t>
      </w:r>
      <w:r>
        <w:t xml:space="preserve">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