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fasciculata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pubescens</w:t>
      </w:r>
      <w:proofErr w:type="spellEnd"/>
      <w:r>
        <w:t xml:space="preserve"> (A.Chev.) A.Chev.</w:t>
      </w:r>
      <w:r w:rsidR="00780DEE" w:rsidRPr="00780DEE">
        <w:rPr>
          <w:i/>
        </w:rPr>
        <w:t xml:space="preserve"> Revue Bot. Appl. Agric. Trop.</w:t>
      </w:r>
      <w:proofErr w:type="spellStart"/>
      <w:r w:rsidR="00780DEE">
        <w:t xml:space="preserve"> 8:127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Ross (1979: 112)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tortilis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pubescens</w:t>
      </w:r>
      <w:proofErr w:type="spellEnd"/>
      <w:r>
        <w:t xml:space="preserve"> (A.Chev.)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tortilis</w:t>
      </w:r>
      <w:r>
        <w:t xml:space="preserve"> var.</w:t>
      </w:r>
      <w:r w:rsidRPr="00815E7D">
        <w:rPr>
          <w:i/>
        </w:rPr>
        <w:t xml:space="preserve"> pubescens</w:t>
      </w:r>
      <w:r>
        <w:t xml:space="preserve"> A.Chev.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