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fasciculata</w:t>
      </w:r>
      <w:r>
        <w:t xml:space="preserve"> Guill. &amp; Perr.</w:t>
      </w:r>
      <w:r w:rsidR="00780DEE" w:rsidRPr="00780DEE">
        <w:rPr>
          <w:i/>
        </w:rPr>
        <w:t xml:space="preserve"> Fl. Seneg. Tent.</w:t>
      </w:r>
      <w:proofErr w:type="spellStart"/>
      <w:r w:rsidR="00780DEE">
        <w:t xml:space="preserve"> 1:252</w:t>
      </w:r>
      <w:proofErr w:type="spellEnd"/>
      <w:r w:rsidR="00780DEE">
        <w:t xml:space="preserve"> (1832)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(homonym)   Source. Ross (1979: 112)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tortilis</w:t>
      </w:r>
      <w:proofErr w:type="spellEnd"/>
      <w:r>
        <w:t xml:space="preserve"> (Savi)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Syntypes: Senegal, Saint Louis and Gaudio!, Perrottet (P)</w:t>
      </w:r>
      <w:proofErr w:type="spellEnd"/>
      <w:r w:rsidRPr="009A6983">
        <w:rPr>
          <w:b/>
        </w:rPr>
        <w:t xml:space="preserve"> Source:</w:t>
      </w:r>
      <w:r>
        <w:t xml:space="preserve"> Ross (1979: 112)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illeg., non Poir. (1810).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