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nilotica</w:t>
      </w:r>
      <w:proofErr w:type="spellEnd"/>
      <w:r>
        <w:t xml:space="preserve"> (L.) Willd. ex Delile</w:t>
      </w:r>
      <w:r w:rsidR="00780DEE" w:rsidRPr="00780DEE">
        <w:rPr>
          <w:i/>
        </w:rPr>
        <w:t xml:space="preserve"> Bull. Jard. Bot. Etat. Bruxelles</w:t>
      </w:r>
      <w:proofErr w:type="spellStart"/>
      <w:r w:rsidR="00780DEE">
        <w:t xml:space="preserve"> 25, suppl.:195</w:t>
      </w:r>
      <w:proofErr w:type="spellEnd"/>
      <w:r w:rsidR="00780DEE">
        <w:t xml:space="preserve"> (1955)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Ross (1979: 106)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(L.) P.J.H.Hurter &amp; Mabb.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nilotica var. adansonii (Guill. &amp; Perr.) Kuntze.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