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vera</w:t>
      </w:r>
      <w:proofErr w:type="spellEnd"/>
      <w:r>
        <w:t xml:space="preserve"> Roberty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11:149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Ross (1979: 106)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(L.) P.J.H.Hurter &amp; Mabb.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tantum excl. specim. Dinter et Zeyher (Ross 1979: 106). Full name path is: Acacia nilotica subsp. eunilotica var. vera Roberty.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vera</w:t>
      </w:r>
      <w:r>
        <w:t xml:space="preserve"> Willd.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