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genuina</w:t>
      </w:r>
      <w:proofErr w:type="spellEnd"/>
      <w:r>
        <w:t xml:space="preserve"> Kuntze</w:t>
      </w:r>
      <w:r w:rsidR="00780DEE" w:rsidRPr="00780DEE">
        <w:rPr>
          <w:i/>
        </w:rPr>
        <w:t xml:space="preserve"> Rev. Gen. Pl.</w:t>
      </w:r>
      <w:proofErr w:type="spellStart"/>
      <w:r w:rsidR="00780DEE">
        <w:t xml:space="preserve"> 1:156</w:t>
      </w:r>
      <w:proofErr w:type="spellEnd"/>
      <w:r w:rsidR="00780DEE">
        <w:t xml:space="preserve"> (1891)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Ross (1979: 106)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P.J.H.Hurter &amp; Mabb.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(This is the Type variety).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nilotica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