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giraffae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espinosa</w:t>
      </w:r>
      <w:proofErr w:type="spellEnd"/>
      <w:r>
        <w:t xml:space="preserve"> Kuntze</w:t>
      </w:r>
      <w:r w:rsidR="00780DEE" w:rsidRPr="00780DEE">
        <w:rPr>
          <w:i/>
        </w:rPr>
        <w:t xml:space="preserve"> Jahrb. Königl. Bot. Gart. Berlin</w:t>
      </w:r>
      <w:proofErr w:type="spellStart"/>
      <w:r w:rsidR="00780DEE">
        <w:t xml:space="preserve"> 4:264</w:t>
      </w:r>
      <w:proofErr w:type="spellEnd"/>
      <w:r w:rsidR="00780DEE">
        <w:t xml:space="preserve"> (1886)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Ross (1979: 103)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erioloba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(E.Mey.) P.J.H.Hurter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South West Afnca, Hereroland, Pechuel-Loesche (B)</w:t>
      </w:r>
      <w:proofErr w:type="spellEnd"/>
      <w:r w:rsidRPr="009A6983">
        <w:rPr>
          <w:b/>
        </w:rPr>
        <w:t xml:space="preserve"> Source:</w:t>
      </w:r>
      <w:r>
        <w:t xml:space="preserve"> Ross (1979: 103)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