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dalzielii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1912:97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Nigeria, Sokoto Province, Dalziel 320 (K)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