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barbertonensis</w:t>
      </w:r>
      <w:r>
        <w:t xml:space="preserve"> Schweik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1937:445</w:t>
      </w:r>
      <w:proofErr w:type="spellEnd"/>
      <w:r w:rsidR="00780DEE">
        <w:t xml:space="preserve"> (1937)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97)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borleae</w:t>
      </w:r>
      <w:proofErr w:type="spellEnd"/>
      <w:r>
        <w:t xml:space="preserve"> (Burtt Davy)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Africa Transvaal Barberton Distr., Komatipoort, Cotton Experimental Station, Barberton (K, PRE - fragment)</w:t>
      </w:r>
      <w:proofErr w:type="spellEnd"/>
      <w:r w:rsidRPr="009A6983">
        <w:rPr>
          <w:b/>
        </w:rPr>
        <w:t xml:space="preserve"> Source:</w:t>
      </w:r>
      <w:r>
        <w:t xml:space="preserve"> Ross (1979: 97)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