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walteri</w:t>
      </w:r>
      <w:r>
        <w:t xml:space="preserve"> Suess.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1:333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Maiden &amp; Blakely (1927).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glandulifera</w:t>
      </w:r>
      <w:r>
        <w:t xml:space="preserve">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