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permixta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glabra</w:t>
      </w:r>
      <w:proofErr w:type="spellEnd"/>
      <w:r>
        <w:t xml:space="preserve"> Burtt Davy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1922:330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tenuispina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(Verd.)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tenuispina</w:t>
      </w:r>
      <w:r>
        <w:t xml:space="preserve"> Verd.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