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donnaiensis</w:t>
      </w:r>
      <w:r>
        <w:t xml:space="preserve"> Gagnep.</w:t>
      </w:r>
      <w:r w:rsidR="00780DEE" w:rsidRPr="00780DEE">
        <w:rPr>
          <w:i/>
        </w:rPr>
        <w:t xml:space="preserve"> Notul. Syst. (Paris)</w:t>
      </w:r>
      <w:proofErr w:type="spellStart"/>
      <w:r w:rsidR="00780DEE">
        <w:t xml:space="preserve"> 2:114</w:t>
      </w:r>
      <w:proofErr w:type="spellEnd"/>
      <w:r w:rsidR="00780DEE">
        <w:t xml:space="preserve"> (1911)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donnaiensis</w:t>
      </w:r>
      <w:proofErr w:type="spellEnd"/>
      <w:r>
        <w:t xml:space="preserve"> (Gagnep.) Maslin,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Nielsen 1980: 349): Vietnam, bords du Donnai, Nov. 1876, Harmand 965 (P)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Nielsen (1981: 52) and (1985: 9) treated Harrnand 965 as a holotype, not lectotype.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