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benadirensis</w:t>
      </w:r>
      <w:r>
        <w:t xml:space="preserve"> sens. Chiov.</w:t>
      </w:r>
      <w:r w:rsidR="00780DEE" w:rsidRPr="00780DEE">
        <w:rPr>
          <w:i/>
        </w:rPr>
        <w:t xml:space="preserve"> Fl. Somala</w:t>
      </w:r>
      <w:proofErr w:type="spellStart"/>
      <w:r w:rsidR="00780DEE">
        <w:t xml:space="preserve"> 2:183</w:t>
      </w:r>
      <w:proofErr w:type="spellEnd"/>
      <w:r w:rsidR="00780DEE">
        <w:t xml:space="preserve"> (1932)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86)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bussei</w:t>
      </w:r>
      <w:proofErr w:type="spellEnd"/>
      <w:r>
        <w:t xml:space="preserve"> (Harms ex Y.Sjöstedt)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 saltern quoad spec. cit. e Somalia Senni 798 (FI), non Chiov. sens. str. (Ross 1979: 86).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