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saccharata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1:505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84)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Faidherbia albida</w:t>
      </w:r>
      <w:proofErr w:type="spellEnd"/>
      <w:r>
        <w:t xml:space="preserve"> (Delile) A.Chev.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The Cayor, Heudelot 391 (K); isotypes: FI, OXF, P)</w:t>
      </w:r>
      <w:proofErr w:type="spellEnd"/>
      <w:r w:rsidRPr="009A6983">
        <w:rPr>
          <w:b/>
        </w:rPr>
        <w:t xml:space="preserve"> Source:</w:t>
      </w:r>
      <w:r>
        <w:t xml:space="preserve"> Ross (1979: 84)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