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mellei</w:t>
      </w:r>
      <w:r>
        <w:t xml:space="preserve"> I.Verd.</w:t>
      </w:r>
      <w:r w:rsidR="00780DEE" w:rsidRPr="00780DEE">
        <w:rPr>
          <w:i/>
        </w:rPr>
        <w:t xml:space="preserve"> Fl. Pl. S. Afr.</w:t>
      </w:r>
      <w:proofErr w:type="spellStart"/>
      <w:r w:rsidR="00780DEE">
        <w:t xml:space="preserve"> 22: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hereroensis</w:t>
      </w:r>
      <w:proofErr w:type="spellEnd"/>
      <w:r>
        <w:t xml:space="preserve"> (Engl.)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Afnca, Transvaal, Pretoria Distr., Zwartkop, 9.6 km S. of Pretoria, Melle sub PRE26514 (PRE); isotypes: FHO, K</w:t>
      </w:r>
      <w:proofErr w:type="spellEnd"/>
      <w:r w:rsidRPr="009A6983">
        <w:rPr>
          <w:b/>
        </w:rPr>
        <w:t xml:space="preserve"> Source:</w:t>
      </w:r>
      <w:r>
        <w:t xml:space="preserve"> Ross (1979: 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