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 Fleck 494a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