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dulcis</w:t>
      </w:r>
      <w:r>
        <w:t xml:space="preserve"> Marloth &amp; Engl.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10:24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Africa, Karibib Distr., Usakos, Marloth 1259 (B); isotypes: BOL, GRA, PRE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