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afra</w:t>
      </w:r>
      <w:r>
        <w:t xml:space="preserve"> sens.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2:345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galpinii</w:t>
      </w:r>
      <w:proofErr w:type="spellEnd"/>
      <w:r>
        <w:t xml:space="preserve"> (Burtt Davy)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Tantum quoad specim. McCabe pro parte (Ross 1979: 69). Originally published as ‘caffra’, which has been replaced by its orthographic variant ‘afra’, see Art. 61.6, ICN (Madrid).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