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laeta</w:t>
      </w:r>
      <w:proofErr w:type="spellEnd"/>
      <w:r>
        <w:t xml:space="preserve"> (R.Br. ex Benth.)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11:154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laeta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(R.Br. ex Benth.)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Full name path is: Acacia senegal subsp. modesta var. laeta (R.Br. ex Benth.) Roberty.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laeta</w:t>
      </w:r>
      <w:r>
        <w:t xml:space="preserve"> R.Br.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