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trentiniana</w:t>
      </w:r>
      <w:r>
        <w:t xml:space="preserve"> A.Chev.</w:t>
      </w:r>
      <w:r w:rsidR="00780DEE" w:rsidRPr="00780DEE">
        <w:rPr>
          <w:i/>
        </w:rPr>
        <w:t xml:space="preserve"> Act. Congr. Intern. Bot. Paris</w:t>
      </w:r>
      <w:proofErr w:type="spellStart"/>
      <w:r w:rsidR="00780DEE">
        <w:t xml:space="preserve"> :272</w:t>
      </w:r>
      <w:proofErr w:type="spellEnd"/>
      <w:r w:rsidR="00780DEE">
        <w:t xml:space="preserve"> (1901)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67)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laeta</w:t>
      </w:r>
      <w:proofErr w:type="spellEnd"/>
      <w:r>
        <w:t xml:space="preserve"> (R.Br. ex Benth.)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Mali, Tombouctou, Chevalier 1185 bis (P)</w:t>
      </w:r>
      <w:proofErr w:type="spellEnd"/>
      <w:r w:rsidRPr="009A6983">
        <w:rPr>
          <w:b/>
        </w:rPr>
        <w:t xml:space="preserve"> Source:</w:t>
      </w:r>
      <w:r>
        <w:t xml:space="preserve"> Ross (1979: 67)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