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trispinosa</w:t>
      </w:r>
      <w:proofErr w:type="spellEnd"/>
      <w:r>
        <w:t xml:space="preserve">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11:155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Ross (1979: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rostrata</w:t>
      </w:r>
      <w:proofErr w:type="spellEnd"/>
      <w:r>
        <w:t xml:space="preserve"> (Brenan)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 Pro parte. As to specimens Dinter 222 &amp; Rogers 6266 (fide Ross 1979: 57). Roberty based this name on Acacia trispinosa Stokes, which he recognised as illegitimate (superfluous). The Roberty name should therefore be treated as a nom. nov. at the new rank.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trispinosa</w:t>
      </w:r>
      <w:r>
        <w:t xml:space="preserve"> Marloth &amp; Engl. ex Schinz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