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samoryana</w:t>
      </w:r>
      <w:proofErr w:type="spellEnd"/>
      <w:r>
        <w:t xml:space="preserve"> (A.Chev.)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11:157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dudgeonii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(Craib ex Holland)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senegal subsp. senegalensis var. samoryana (A.Chev.) Roberty.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samoryana</w:t>
      </w:r>
      <w:r>
        <w:t xml:space="preserve"> A.Chev.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