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pentaptera</w:t>
      </w:r>
      <w:r>
        <w:t xml:space="preserve"> Welw.</w:t>
      </w:r>
      <w:r w:rsidR="00780DEE" w:rsidRPr="00780DEE">
        <w:rPr>
          <w:i/>
        </w:rPr>
        <w:t xml:space="preserve"> Apont.</w:t>
      </w:r>
      <w:proofErr w:type="spellStart"/>
      <w:r w:rsidR="00780DEE">
        <w:t xml:space="preserve"> :584</w:t>
      </w:r>
      <w:proofErr w:type="spellEnd"/>
      <w:r w:rsidR="00780DEE">
        <w:t xml:space="preserve"> (1858, publ. 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pentagona</w:t>
      </w:r>
      <w:proofErr w:type="spellEnd"/>
      <w:r>
        <w:t xml:space="preserve"> (Schumach. &amp; Thonn.)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Cuanza Norte, Pungo Andongo, prox. da estrada de Luxilo, Welwitsch 1809 (LISU); isotypes: BM, COI, K</w:t>
      </w:r>
      <w:proofErr w:type="spellEnd"/>
      <w:r w:rsidRPr="009A6983">
        <w:rPr>
          <w:b/>
        </w:rPr>
        <w:t xml:space="preserve"> Source:</w:t>
      </w:r>
      <w:r>
        <w:t xml:space="preserve"> Ross (1979: 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