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brevispica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schweinfurthii</w:t>
      </w:r>
      <w:proofErr w:type="spellEnd"/>
      <w:r>
        <w:t xml:space="preserve"> (Brenan &amp; Exell) J.H.Ross &amp; Gordon-Gray</w:t>
      </w:r>
      <w:r w:rsidR="00780DEE" w:rsidRPr="00780DEE">
        <w:rPr>
          <w:i/>
        </w:rPr>
        <w:t xml:space="preserve"> Brittonia</w:t>
      </w:r>
      <w:proofErr w:type="spellStart"/>
      <w:r w:rsidR="00780DEE">
        <w:t xml:space="preserve"> 18:62</w:t>
      </w:r>
      <w:proofErr w:type="spellEnd"/>
      <w:r w:rsidR="00780DEE">
        <w:t xml:space="preserve"> (1966)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51)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schweinfurthii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schweinfurthii</w:t>
      </w:r>
      <w:proofErr w:type="spellEnd"/>
      <w:r>
        <w:t xml:space="preserve"> (Brenan &amp; Exell)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 as for Acacia schweinfurthii Brenan &amp; Exell</w:t>
      </w:r>
      <w:proofErr w:type="spellEnd"/>
      <w:r w:rsidRPr="009A6983">
        <w:rPr>
          <w:b/>
        </w:rPr>
        <w:t xml:space="preserve"> Source:</w:t>
      </w:r>
      <w:r>
        <w:t xml:space="preserve"> Ross (1979: 51)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