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pervillei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pubescens</w:t>
      </w:r>
      <w:proofErr w:type="spellEnd"/>
      <w:r>
        <w:t xml:space="preserve"> Villiers &amp; Du Puy</w:t>
      </w:r>
      <w:r w:rsidR="00780DEE" w:rsidRPr="00780DEE">
        <w:rPr>
          <w:i/>
        </w:rPr>
        <w:t xml:space="preserve"> Legum. Madagascar</w:t>
      </w:r>
      <w:proofErr w:type="spellStart"/>
      <w:r w:rsidR="00780DEE">
        <w:t xml:space="preserve"> :237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Boatwright et al. (2015: 292)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pervillei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pubescens</w:t>
      </w:r>
      <w:proofErr w:type="spellEnd"/>
      <w:r>
        <w:t xml:space="preserve"> (Villiers &amp; Du Puy)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"W Madagascar, environs de Maevatanana, Belambo, Perrier de la Bathie 501; holo: P"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