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triacantha</w:t>
      </w:r>
      <w:r>
        <w:t xml:space="preserve"> Hochst. ex A.Rich.</w:t>
      </w:r>
      <w:r w:rsidR="00780DEE" w:rsidRPr="00780DEE">
        <w:rPr>
          <w:i/>
        </w:rPr>
        <w:t xml:space="preserve"> Tent. Fl. Abyss.</w:t>
      </w:r>
      <w:proofErr w:type="spellStart"/>
      <w:r w:rsidR="00780DEE">
        <w:t xml:space="preserve"> 1:244</w:t>
      </w:r>
      <w:proofErr w:type="spellEnd"/>
      <w:r w:rsidR="00780DEE">
        <w:t xml:space="preserve"> (1847)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59)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asak</w:t>
      </w:r>
      <w:proofErr w:type="spellEnd"/>
      <w:r>
        <w:t xml:space="preserve"> (Forssk.)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Ethiopia, Modat, Schimper 1746 (P); isotypes: BM, FI, K, MEL)</w:t>
      </w:r>
      <w:proofErr w:type="spellEnd"/>
      <w:r w:rsidRPr="009A6983">
        <w:rPr>
          <w:b/>
        </w:rPr>
        <w:t xml:space="preserve"> Source:</w:t>
      </w:r>
      <w:r>
        <w:t xml:space="preserve"> Ross (1979: 59)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