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myrmecophila</w:t>
      </w:r>
      <w:r>
        <w:t xml:space="preserve"> R.Vig.</w:t>
      </w:r>
      <w:r w:rsidR="00780DEE" w:rsidRPr="00780DEE">
        <w:rPr>
          <w:i/>
        </w:rPr>
        <w:t xml:space="preserve"> Notul. Syst. (Paris)</w:t>
      </w:r>
      <w:proofErr w:type="spellStart"/>
      <w:r w:rsidR="00780DEE">
        <w:t xml:space="preserve"> 13:334</w:t>
      </w:r>
      <w:proofErr w:type="spellEnd"/>
      <w:r w:rsidR="00780DEE">
        <w:t xml:space="preserve"> (1949)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Boatwright et al. (2015: 293)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myrmecophila</w:t>
      </w:r>
      <w:proofErr w:type="spellEnd"/>
      <w:r>
        <w:t xml:space="preserve"> (R.Vig.)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Du Puy &amp; Villiers 2002: 234): S Madagascar, Mahafaly, Perrier de la Bathie 3801 (P)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