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adstringens</w:t>
      </w:r>
      <w:r>
        <w:t xml:space="preserve"> (Schumach. &amp; Thonn.) Berhaut</w:t>
      </w:r>
      <w:r w:rsidR="00780DEE" w:rsidRPr="00780DEE">
        <w:rPr>
          <w:i/>
        </w:rPr>
        <w:t xml:space="preserve"> Fl. Senegal</w:t>
      </w:r>
      <w:proofErr w:type="spellStart"/>
      <w:r w:rsidR="00780DEE">
        <w:t xml:space="preserve"> :26</w:t>
      </w:r>
      <w:proofErr w:type="spellEnd"/>
      <w:r w:rsidR="00780DEE">
        <w:t xml:space="preserve"> (1954)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(Schumach. &amp; Thonn.)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Mart. (1823).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