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scorpoides</w:t>
      </w:r>
      <w:r>
        <w:t xml:space="preserve"> (L.) W.Wight</w:t>
      </w:r>
      <w:r w:rsidR="00780DEE" w:rsidRPr="00780DEE">
        <w:rPr>
          <w:i/>
        </w:rPr>
        <w:t xml:space="preserve"> Contr. U.S. Natl. Herb.</w:t>
      </w:r>
      <w:proofErr w:type="spellStart"/>
      <w:r w:rsidR="00780DEE">
        <w:t xml:space="preserve"> 9:173</w:t>
      </w:r>
      <w:proofErr w:type="spellEnd"/>
      <w:r w:rsidR="00780DEE">
        <w:t xml:space="preserve"> (1905)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106)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r>
        <w:t xml:space="preserve"> (L.) P.J.H.Hurter &amp; Mabb.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As noted by Orchard &amp; Maslin (2003) the former type of the genus Acacia is generally considered to be A. scorpioides (L.) W. F. Wight selected by Britton &amp; Brown (Ill. Fl. N. U.S., ed. 2, 2: 330. 1913 as "Mimosa scorpioides L.") (cf. Index Nominum Genericorum - http://rathbun.si.edu/botany/ing/ingForm.cfm), and endorsed by Abrams (Ill. Fl.  Pacific States 2: 475. 1944) and Pedley (in Austrobaileya 1: 81. 1978). This type has now been replaced by Acacia penninervis (see McNeill &amp; Turland 2011: 1496).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scorpoides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