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cochliacantha</w:t>
      </w:r>
      <w:r>
        <w:t xml:space="preserve"> Humb. &amp; Bonpl. ex Willd.</w:t>
      </w:r>
      <w:r w:rsidR="00780DEE" w:rsidRPr="00780DEE">
        <w:rPr>
          <w:i/>
        </w:rPr>
        <w:t xml:space="preserve"> Sp. Pl., ed. 4 [Willdenow]</w:t>
      </w:r>
      <w:proofErr w:type="spellStart"/>
      <w:r w:rsidR="00780DEE">
        <w:t xml:space="preserve"> 4(2):1080</w:t>
      </w:r>
      <w:proofErr w:type="spellEnd"/>
      <w:r w:rsidR="00780DEE">
        <w:t xml:space="preserve"> (1806)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147)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campeachiana</w:t>
      </w:r>
      <w:proofErr w:type="spellEnd"/>
      <w:r>
        <w:t xml:space="preserve"> (Mill.)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without exact locality [erroneously given as Guayaquil, Ecuador by Rudd 1966)], Humboldt &amp; Bonpland s.n. (B -  destroyed, F - photo, M0 - photo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147)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