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yemenensis</w:t>
      </w:r>
      <w:r>
        <w:t xml:space="preserve"> (Boulos)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162(3):178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Acacia yemenensis is not listed by Lock &amp; Simpson (1991) or ILDIS (The International Legume Database &amp; Information Service, Roskov et al. 2005), but it is regarded as a good species by A. G. (Tony) Miller and is therefore adopted here. The taxonomic status of Acacia yemenensis subsp. obtusifoliolata Boulos (1995) requires further study (Miller, pers. comm.); fide Ragupathy et al. (2014: 178).</w:t>
      </w:r>
    </w:p>
    <w:p w:rsidR="009A6983" w:rsidRPr="009A6983" w:rsidRDefault="009A6983">
      <w:r>
        <w:rPr>
          <w:b/>
        </w:rPr>
        <w:t>Distribution:</w:t>
      </w:r>
      <w:r>
        <w:t xml:space="preserve"> ARABIAN PENINSULA [N]: North Yemen, South Yemen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yemenensis</w:t>
      </w:r>
      <w:r>
        <w:t xml:space="preserve"> Boulos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yemenensis</w:t>
      </w:r>
      <w:r>
        <w:t xml:space="preserve"> Boulos</w:t>
      </w:r>
      <w:r>
        <w:t xml:space="preserve"> (1995)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yemenensis</w:t>
      </w:r>
      <w:r w:rsidR="00041308">
        <w:t xml:space="preserve"> subsp.</w:t>
      </w:r>
      <w:r w:rsidR="00041308" w:rsidRPr="00815E7D">
        <w:rPr>
          <w:i/>
        </w:rPr>
        <w:t xml:space="preserve"> yemenensis</w:t>
      </w:r>
      <w:r>
        <w:t xml:space="preserve"> Boulos</w:t>
      </w:r>
      <w:r>
        <w:t xml:space="preserve"> (1995)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yemenensis</w:t>
      </w:r>
      <w:r>
        <w:t xml:space="preserve">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50(2):330-331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yemenensis</w:t>
      </w:r>
      <w:proofErr w:type="spellEnd"/>
      <w:r>
        <w:t xml:space="preserve"> (Boulos)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Yemen. N. Taiz, F.N. Hepper &amp; J.R.I. Wood 5852 (K)</w:t>
      </w:r>
      <w:proofErr w:type="spellEnd"/>
      <w:r w:rsidRPr="009A6983">
        <w:rPr>
          <w:b/>
        </w:rPr>
        <w:t xml:space="preserve"> Source:</w:t>
      </w:r>
      <w:r>
        <w:t xml:space="preserve"> Boulos (1995: 331)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yemenensis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yemenensis</w:t>
      </w:r>
      <w:proofErr w:type="spellEnd"/>
      <w:r>
        <w:t xml:space="preserve">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50(2):330-331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yemenensis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(Boulos) Ragup., Seigler, Ebinger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