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pseudoeburnea</w:t>
      </w:r>
      <w:r>
        <w:t xml:space="preserve"> J.R.Drumm. ex Dunn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1922:185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pseudoeburnea</w:t>
      </w:r>
      <w:proofErr w:type="spellEnd"/>
      <w:r>
        <w:t xml:space="preserve"> (J.R.Drumm. ex Dunn)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"N.W. India. Kumaon, Stewart 96; The Bhabar at 500 m., 1852, Starchey &amp; Winterbottom 3; Hardwar 330 m., Jan. (flower) 1845, Thomson 893, Major Madden, 1852; Mohan Rau, Saharanpur, Siwaliks at 500 m., 11.2.1922 (flower) Parker 55."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&amp; Maina 2016): INDIA, Kumaon, Steward 96 (K 000791197: image!). Syntype:—INDIA, Uttarakhand, Hardwar, 4 Jan. 1845, T. Thomson 893 (K 000791198: image!) [Note: Other syntypes viz. Strachey &amp; Winterbottom 3, Madden 1852, Mohan Rau s. n. and R. N. Parker 55 could not be located].</w:t>
      </w:r>
      <w:proofErr w:type="spellEnd"/>
      <w:r w:rsidRPr="009A6983">
        <w:rPr>
          <w:b/>
        </w:rPr>
        <w:t xml:space="preserve"> Source:</w:t>
      </w:r>
      <w:r>
        <w:t xml:space="preserve"> Chakrabarty &amp; Maina (2016)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