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lankaensis</w:t>
      </w:r>
      <w:r>
        <w:t xml:space="preserve"> (Kosterm.)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162(3):175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 [N]: Sri Lanka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lankaensis</w:t>
      </w:r>
      <w:r>
        <w:t xml:space="preserve"> Kosterm.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lankaensis</w:t>
      </w:r>
      <w:r>
        <w:t xml:space="preserve"> Kosterm.</w:t>
      </w:r>
      <w:r>
        <w:t xml:space="preserve"> (1979)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lankaensis</w:t>
      </w:r>
      <w:r>
        <w:t xml:space="preserve"> Kosterm.</w:t>
      </w:r>
      <w:r w:rsidR="00780DEE" w:rsidRPr="00780DEE">
        <w:rPr>
          <w:i/>
        </w:rPr>
        <w:t xml:space="preserve"> Ceylon J. Sci., Biol. Sci.</w:t>
      </w:r>
      <w:proofErr w:type="spellStart"/>
      <w:r w:rsidR="00780DEE">
        <w:t xml:space="preserve"> 13(12):253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lankaensis</w:t>
      </w:r>
      <w:proofErr w:type="spellEnd"/>
      <w:r>
        <w:t xml:space="preserve"> (Kosterm.)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Sri Lanka. Roadside Madugoda to Mahiyangana, intermediate zone, ca. 400 m, Kostermans 25426 (L); isotypes: A, BO, G, K, PDA, US)</w:t>
      </w:r>
      <w:proofErr w:type="spellEnd"/>
      <w:r w:rsidRPr="009A6983">
        <w:rPr>
          <w:b/>
        </w:rPr>
        <w:t xml:space="preserve"> Source:</w:t>
      </w:r>
      <w:r>
        <w:t xml:space="preserve"> Kostermans (1979)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